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C034" w14:textId="77777777" w:rsidR="00CA616E" w:rsidRPr="001F58FA" w:rsidRDefault="00CA616E" w:rsidP="001F58FA">
      <w:pPr>
        <w:jc w:val="center"/>
        <w:rPr>
          <w:rFonts w:ascii="Arial" w:hAnsi="Arial" w:cs="Arial"/>
          <w:b/>
          <w:bCs/>
          <w:sz w:val="24"/>
          <w:szCs w:val="24"/>
          <w:lang w:eastAsia="es-CO"/>
        </w:rPr>
      </w:pPr>
      <w:r w:rsidRPr="001F58FA">
        <w:rPr>
          <w:rFonts w:ascii="Arial" w:hAnsi="Arial" w:cs="Arial"/>
          <w:b/>
          <w:bCs/>
          <w:sz w:val="24"/>
          <w:szCs w:val="24"/>
          <w:lang w:eastAsia="es-CO"/>
        </w:rPr>
        <w:t>PROYECTO DE ACUERDO No. ___ DE 2026</w:t>
      </w:r>
    </w:p>
    <w:p w14:paraId="56344DA7" w14:textId="4B0FF478" w:rsidR="00CA616E" w:rsidRPr="001F58FA" w:rsidRDefault="00CA4149" w:rsidP="001F58FA">
      <w:pPr>
        <w:jc w:val="center"/>
        <w:rPr>
          <w:rFonts w:ascii="Arial" w:hAnsi="Arial" w:cs="Arial"/>
          <w:b/>
          <w:bCs/>
          <w:sz w:val="24"/>
          <w:szCs w:val="24"/>
          <w:lang w:eastAsia="es-CO"/>
        </w:rPr>
      </w:pPr>
      <w:r w:rsidRPr="001F58FA">
        <w:rPr>
          <w:rFonts w:ascii="Arial" w:hAnsi="Arial" w:cs="Arial"/>
          <w:b/>
          <w:bCs/>
          <w:sz w:val="24"/>
          <w:szCs w:val="24"/>
          <w:lang w:eastAsia="es-CO"/>
        </w:rPr>
        <w:t xml:space="preserve">“POR MEDIO DEL CUAL SE </w:t>
      </w:r>
      <w:r>
        <w:rPr>
          <w:rFonts w:ascii="Arial" w:hAnsi="Arial" w:cs="Arial"/>
          <w:b/>
          <w:bCs/>
          <w:sz w:val="24"/>
          <w:szCs w:val="24"/>
          <w:lang w:eastAsia="es-CO"/>
        </w:rPr>
        <w:t xml:space="preserve">FACULTA AL ALCALDE DEL MUNICIPIO DE DIBULLA, LA GUAJIRA PARA </w:t>
      </w:r>
      <w:r w:rsidR="00B92270">
        <w:rPr>
          <w:rFonts w:ascii="Arial" w:hAnsi="Arial" w:cs="Arial"/>
          <w:b/>
          <w:bCs/>
          <w:sz w:val="24"/>
          <w:szCs w:val="24"/>
          <w:lang w:eastAsia="es-CO"/>
        </w:rPr>
        <w:t>REALIZAR CESIÓN</w:t>
      </w:r>
      <w:r>
        <w:rPr>
          <w:rFonts w:ascii="Arial" w:hAnsi="Arial" w:cs="Arial"/>
          <w:b/>
          <w:bCs/>
          <w:sz w:val="24"/>
          <w:szCs w:val="24"/>
          <w:lang w:eastAsia="es-CO"/>
        </w:rPr>
        <w:t xml:space="preserve"> A TÍTULO GRATUITO DE LOS BIENES FISCALES, PARA LA IMPLEMENTACIÓN, DESARROLLO Y APLICACIÓN DE LOS PROGRAMAS DE FORMALIZACIÓN, TITULACIÓN Y LEGALIZACIÓN DE</w:t>
      </w:r>
      <w:r w:rsidRPr="001F58FA">
        <w:rPr>
          <w:rFonts w:ascii="Arial" w:hAnsi="Arial" w:cs="Arial"/>
          <w:b/>
          <w:bCs/>
          <w:sz w:val="24"/>
          <w:szCs w:val="24"/>
          <w:lang w:eastAsia="es-CO"/>
        </w:rPr>
        <w:t xml:space="preserve"> PREDIOS </w:t>
      </w:r>
      <w:r w:rsidR="00591670">
        <w:rPr>
          <w:rFonts w:ascii="Arial" w:hAnsi="Arial" w:cs="Arial"/>
          <w:b/>
          <w:bCs/>
          <w:sz w:val="24"/>
          <w:szCs w:val="24"/>
          <w:lang w:eastAsia="es-CO"/>
        </w:rPr>
        <w:t xml:space="preserve">DE QUE TRATAN EL ARTÍCULO 277 DE LA LEY 1955 DE 2019 Y EL DECRETO 149 DE 2020, </w:t>
      </w:r>
      <w:r w:rsidRPr="001F58FA">
        <w:rPr>
          <w:rFonts w:ascii="Arial" w:hAnsi="Arial" w:cs="Arial"/>
          <w:b/>
          <w:bCs/>
          <w:sz w:val="24"/>
          <w:szCs w:val="24"/>
          <w:lang w:eastAsia="es-CO"/>
        </w:rPr>
        <w:t>EN EL MUNICIPIO DE DIBULLA – LA GUAJIRA Y SE DICTAN OTRAS DISPOSICIONES”</w:t>
      </w:r>
    </w:p>
    <w:p w14:paraId="3A2151DC" w14:textId="77777777" w:rsidR="00591670" w:rsidRDefault="00591670" w:rsidP="001F58FA">
      <w:pPr>
        <w:jc w:val="center"/>
        <w:rPr>
          <w:rFonts w:ascii="Arial" w:hAnsi="Arial" w:cs="Arial"/>
          <w:b/>
          <w:bCs/>
          <w:sz w:val="24"/>
          <w:szCs w:val="24"/>
          <w:lang w:eastAsia="es-CO"/>
        </w:rPr>
      </w:pPr>
    </w:p>
    <w:p w14:paraId="55234C5F" w14:textId="33FA547D" w:rsidR="00CA616E" w:rsidRPr="001F58FA" w:rsidRDefault="00CA616E" w:rsidP="001F58FA">
      <w:pPr>
        <w:jc w:val="center"/>
        <w:rPr>
          <w:rFonts w:ascii="Arial" w:hAnsi="Arial" w:cs="Arial"/>
          <w:b/>
          <w:bCs/>
          <w:sz w:val="24"/>
          <w:szCs w:val="24"/>
          <w:lang w:eastAsia="es-CO"/>
        </w:rPr>
      </w:pPr>
      <w:r w:rsidRPr="001F58FA">
        <w:rPr>
          <w:rFonts w:ascii="Arial" w:hAnsi="Arial" w:cs="Arial"/>
          <w:b/>
          <w:bCs/>
          <w:sz w:val="24"/>
          <w:szCs w:val="24"/>
          <w:lang w:eastAsia="es-CO"/>
        </w:rPr>
        <w:t>EL HONORABLE CONCEJO MUNICIPAL DE</w:t>
      </w:r>
      <w:r w:rsidR="000F4361">
        <w:rPr>
          <w:rFonts w:ascii="Arial" w:hAnsi="Arial" w:cs="Arial"/>
          <w:b/>
          <w:bCs/>
          <w:sz w:val="24"/>
          <w:szCs w:val="24"/>
          <w:lang w:eastAsia="es-CO"/>
        </w:rPr>
        <w:t>L MUNICIPIO DE</w:t>
      </w:r>
      <w:r w:rsidRPr="001F58FA">
        <w:rPr>
          <w:rFonts w:ascii="Arial" w:hAnsi="Arial" w:cs="Arial"/>
          <w:b/>
          <w:bCs/>
          <w:sz w:val="24"/>
          <w:szCs w:val="24"/>
          <w:lang w:eastAsia="es-CO"/>
        </w:rPr>
        <w:t xml:space="preserve"> DIBULLA – LA GUAJIRA</w:t>
      </w:r>
    </w:p>
    <w:p w14:paraId="4635CCCD" w14:textId="35534379" w:rsidR="00CA616E" w:rsidRPr="001F58FA" w:rsidRDefault="00CA616E" w:rsidP="001F58FA">
      <w:pPr>
        <w:jc w:val="both"/>
        <w:rPr>
          <w:rFonts w:ascii="Arial" w:hAnsi="Arial" w:cs="Arial"/>
          <w:sz w:val="24"/>
          <w:szCs w:val="24"/>
          <w:lang w:eastAsia="es-CO"/>
        </w:rPr>
      </w:pPr>
      <w:r w:rsidRPr="001F58FA">
        <w:rPr>
          <w:rFonts w:ascii="Arial" w:hAnsi="Arial" w:cs="Arial"/>
          <w:sz w:val="24"/>
          <w:szCs w:val="24"/>
          <w:lang w:eastAsia="es-CO"/>
        </w:rPr>
        <w:t xml:space="preserve">En uso de sus facultades constitucionales y legales, en especial las conferidas por el </w:t>
      </w:r>
      <w:r w:rsidR="000F4361">
        <w:rPr>
          <w:rFonts w:ascii="Arial" w:hAnsi="Arial" w:cs="Arial"/>
          <w:sz w:val="24"/>
          <w:szCs w:val="24"/>
          <w:lang w:eastAsia="es-CO"/>
        </w:rPr>
        <w:t xml:space="preserve">numeral 7 del </w:t>
      </w:r>
      <w:r w:rsidRPr="001F58FA">
        <w:rPr>
          <w:rFonts w:ascii="Arial" w:hAnsi="Arial" w:cs="Arial"/>
          <w:sz w:val="24"/>
          <w:szCs w:val="24"/>
          <w:lang w:eastAsia="es-CO"/>
        </w:rPr>
        <w:t>artículo 313 de la Constitución Política de Colombia</w:t>
      </w:r>
      <w:r w:rsidR="000F4361">
        <w:rPr>
          <w:rFonts w:ascii="Arial" w:hAnsi="Arial" w:cs="Arial"/>
          <w:sz w:val="24"/>
          <w:szCs w:val="24"/>
          <w:lang w:eastAsia="es-CO"/>
        </w:rPr>
        <w:t>, articulo 277 de la Ley 1955 de 2019</w:t>
      </w:r>
      <w:r w:rsidRPr="001F58FA">
        <w:rPr>
          <w:rFonts w:ascii="Arial" w:hAnsi="Arial" w:cs="Arial"/>
          <w:sz w:val="24"/>
          <w:szCs w:val="24"/>
          <w:lang w:eastAsia="es-CO"/>
        </w:rPr>
        <w:t xml:space="preserve"> y demás normas concordantes,</w:t>
      </w:r>
    </w:p>
    <w:p w14:paraId="18FEAAB8" w14:textId="5596CE17" w:rsidR="00CA616E" w:rsidRPr="001F58FA" w:rsidRDefault="00CA616E" w:rsidP="001F58FA">
      <w:pPr>
        <w:rPr>
          <w:rFonts w:ascii="Arial" w:hAnsi="Arial" w:cs="Arial"/>
          <w:sz w:val="24"/>
          <w:szCs w:val="24"/>
          <w:lang w:eastAsia="es-CO"/>
        </w:rPr>
      </w:pPr>
    </w:p>
    <w:p w14:paraId="7CE80AF0" w14:textId="77777777" w:rsidR="00CA616E" w:rsidRPr="001F58FA" w:rsidRDefault="00CA616E" w:rsidP="001F58FA">
      <w:pPr>
        <w:jc w:val="center"/>
        <w:rPr>
          <w:rFonts w:ascii="Arial" w:hAnsi="Arial" w:cs="Arial"/>
          <w:b/>
          <w:bCs/>
          <w:sz w:val="24"/>
          <w:szCs w:val="24"/>
          <w:lang w:eastAsia="es-CO"/>
        </w:rPr>
      </w:pPr>
      <w:r w:rsidRPr="001F58FA">
        <w:rPr>
          <w:rFonts w:ascii="Arial" w:hAnsi="Arial" w:cs="Arial"/>
          <w:b/>
          <w:bCs/>
          <w:sz w:val="24"/>
          <w:szCs w:val="24"/>
          <w:lang w:eastAsia="es-CO"/>
        </w:rPr>
        <w:t>CONSIDERANDO</w:t>
      </w:r>
    </w:p>
    <w:p w14:paraId="5E43BECB" w14:textId="7F4C7B8F" w:rsidR="000F4361" w:rsidRDefault="000F4361" w:rsidP="001F58FA">
      <w:pPr>
        <w:jc w:val="both"/>
        <w:rPr>
          <w:rFonts w:ascii="Arial" w:hAnsi="Arial" w:cs="Arial"/>
          <w:sz w:val="24"/>
          <w:szCs w:val="24"/>
        </w:rPr>
      </w:pPr>
      <w:r w:rsidRPr="000F4361">
        <w:rPr>
          <w:rFonts w:ascii="Arial" w:hAnsi="Arial" w:cs="Arial"/>
          <w:sz w:val="24"/>
          <w:szCs w:val="24"/>
        </w:rPr>
        <w:t>Que el artículo 51 de la Constitución Política establece que todos los colombianos tienen derecho a una vivienda digna y que el Estado fijará las condiciones necesarias para hacer efectivo este derecho.</w:t>
      </w:r>
    </w:p>
    <w:p w14:paraId="2F5D3BF9" w14:textId="46D62497" w:rsidR="00602556" w:rsidRDefault="00602556" w:rsidP="001F58FA">
      <w:pPr>
        <w:jc w:val="both"/>
        <w:rPr>
          <w:i/>
          <w:iCs/>
          <w:sz w:val="24"/>
          <w:szCs w:val="24"/>
        </w:rPr>
      </w:pPr>
      <w:r>
        <w:rPr>
          <w:rFonts w:ascii="Arial" w:hAnsi="Arial" w:cs="Arial"/>
          <w:sz w:val="24"/>
          <w:szCs w:val="24"/>
        </w:rPr>
        <w:t xml:space="preserve">Que de Conformidad con el numeral 7 del </w:t>
      </w:r>
      <w:r w:rsidR="00E375F9">
        <w:rPr>
          <w:rFonts w:ascii="Arial" w:hAnsi="Arial" w:cs="Arial"/>
          <w:sz w:val="24"/>
          <w:szCs w:val="24"/>
        </w:rPr>
        <w:t>artículo</w:t>
      </w:r>
      <w:r>
        <w:rPr>
          <w:rFonts w:ascii="Arial" w:hAnsi="Arial" w:cs="Arial"/>
          <w:sz w:val="24"/>
          <w:szCs w:val="24"/>
        </w:rPr>
        <w:t xml:space="preserve"> 313 de la </w:t>
      </w:r>
      <w:r w:rsidRPr="000F4361">
        <w:rPr>
          <w:rFonts w:ascii="Arial" w:hAnsi="Arial" w:cs="Arial"/>
          <w:sz w:val="24"/>
          <w:szCs w:val="24"/>
        </w:rPr>
        <w:t>Constitución Política</w:t>
      </w:r>
      <w:r>
        <w:rPr>
          <w:rFonts w:ascii="Arial" w:hAnsi="Arial" w:cs="Arial"/>
          <w:sz w:val="24"/>
          <w:szCs w:val="24"/>
        </w:rPr>
        <w:t xml:space="preserve"> </w:t>
      </w:r>
      <w:r w:rsidRPr="001F58FA">
        <w:rPr>
          <w:rFonts w:ascii="Arial" w:hAnsi="Arial" w:cs="Arial"/>
          <w:sz w:val="24"/>
          <w:szCs w:val="24"/>
          <w:lang w:eastAsia="es-CO"/>
        </w:rPr>
        <w:t>de Colombia</w:t>
      </w:r>
      <w:r>
        <w:rPr>
          <w:rFonts w:ascii="Arial" w:hAnsi="Arial" w:cs="Arial"/>
          <w:sz w:val="24"/>
          <w:szCs w:val="24"/>
          <w:lang w:eastAsia="es-CO"/>
        </w:rPr>
        <w:t xml:space="preserve">, corresponde a los Consejos Municipales, </w:t>
      </w:r>
      <w:r w:rsidRPr="00602556">
        <w:rPr>
          <w:rStyle w:val="n9q8lc"/>
          <w:rFonts w:ascii="Arial" w:hAnsi="Arial" w:cs="Arial"/>
          <w:i/>
          <w:iCs/>
          <w:sz w:val="24"/>
          <w:szCs w:val="24"/>
        </w:rPr>
        <w:t>"Reglamentar los usos del suelo y, dentro de los límites que fije la ley, vigilar y controlar las actividades relacionadas con la construcción y enajenación de inmuebles destinados a vivienda."</w:t>
      </w:r>
      <w:r w:rsidRPr="00602556">
        <w:rPr>
          <w:i/>
          <w:iCs/>
          <w:sz w:val="24"/>
          <w:szCs w:val="24"/>
        </w:rPr>
        <w:t xml:space="preserve"> </w:t>
      </w:r>
    </w:p>
    <w:p w14:paraId="290C7E64" w14:textId="1BBF0C63" w:rsidR="00214DAE" w:rsidRPr="003B77F5" w:rsidRDefault="00602556" w:rsidP="00214DAE">
      <w:pPr>
        <w:jc w:val="both"/>
        <w:rPr>
          <w:rFonts w:ascii="Arial" w:hAnsi="Arial" w:cs="Arial"/>
          <w:sz w:val="24"/>
          <w:szCs w:val="24"/>
        </w:rPr>
      </w:pPr>
      <w:r w:rsidRPr="003B77F5">
        <w:rPr>
          <w:rFonts w:ascii="Arial" w:hAnsi="Arial" w:cs="Arial"/>
          <w:sz w:val="24"/>
          <w:szCs w:val="24"/>
        </w:rPr>
        <w:t xml:space="preserve">Que el artículo 14 de la Ley 708 de 2001, </w:t>
      </w:r>
      <w:r w:rsidR="00E375F9">
        <w:rPr>
          <w:rFonts w:ascii="Arial" w:hAnsi="Arial" w:cs="Arial"/>
          <w:sz w:val="24"/>
          <w:szCs w:val="24"/>
        </w:rPr>
        <w:t xml:space="preserve">fue </w:t>
      </w:r>
      <w:r w:rsidRPr="003B77F5">
        <w:rPr>
          <w:rFonts w:ascii="Arial" w:hAnsi="Arial" w:cs="Arial"/>
          <w:sz w:val="24"/>
          <w:szCs w:val="24"/>
        </w:rPr>
        <w:t xml:space="preserve">modificado por el artículo 277 de la Ley 1955 de 2019, </w:t>
      </w:r>
      <w:r w:rsidR="00214DAE" w:rsidRPr="003B77F5">
        <w:rPr>
          <w:rFonts w:ascii="Arial" w:hAnsi="Arial" w:cs="Arial"/>
          <w:sz w:val="24"/>
          <w:szCs w:val="24"/>
        </w:rPr>
        <w:t>dispone que:</w:t>
      </w:r>
    </w:p>
    <w:p w14:paraId="79428C9E" w14:textId="1295F17B" w:rsidR="00214DAE" w:rsidRPr="001067CD" w:rsidRDefault="00214DAE" w:rsidP="001067CD">
      <w:pPr>
        <w:ind w:left="708"/>
        <w:jc w:val="both"/>
        <w:rPr>
          <w:rFonts w:ascii="Arial" w:eastAsia="Times New Roman" w:hAnsi="Arial" w:cs="Arial"/>
          <w:i/>
          <w:iCs/>
          <w:sz w:val="20"/>
          <w:szCs w:val="20"/>
          <w:lang w:eastAsia="es-CO"/>
        </w:rPr>
      </w:pPr>
      <w:r w:rsidRPr="001067CD">
        <w:rPr>
          <w:rFonts w:ascii="Arial" w:hAnsi="Arial" w:cs="Arial"/>
          <w:i/>
          <w:iCs/>
          <w:sz w:val="20"/>
          <w:szCs w:val="20"/>
        </w:rPr>
        <w:t>“</w:t>
      </w:r>
      <w:r w:rsidR="00E375F9">
        <w:rPr>
          <w:rFonts w:ascii="Arial" w:hAnsi="Arial" w:cs="Arial"/>
          <w:i/>
          <w:iCs/>
          <w:sz w:val="20"/>
          <w:szCs w:val="20"/>
        </w:rPr>
        <w:t xml:space="preserve">Articulo 14. </w:t>
      </w:r>
      <w:r w:rsidRPr="001067CD">
        <w:rPr>
          <w:rFonts w:ascii="Arial" w:hAnsi="Arial" w:cs="Arial"/>
          <w:i/>
          <w:iCs/>
          <w:sz w:val="20"/>
          <w:szCs w:val="20"/>
        </w:rPr>
        <w:t xml:space="preserve">Las entidades públicas podrán transferir mediante cesión a título gratuito la propiedad de los bienes inmuebles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diez (10) años de anterioridad al inicio del procedimiento administrativo. La cesión gratuita se efectuará mediante resolución administrativa, la cual constituirá título de dominio y una vez inscrita en la correspondiente Oficina de Registro de Instrumentos Públicos, será plena prueba de la propiedad. </w:t>
      </w:r>
      <w:r w:rsidRPr="00214DAE">
        <w:rPr>
          <w:rFonts w:ascii="Arial" w:eastAsia="Times New Roman" w:hAnsi="Arial" w:cs="Arial"/>
          <w:i/>
          <w:iCs/>
          <w:sz w:val="20"/>
          <w:szCs w:val="20"/>
          <w:lang w:eastAsia="es-CO"/>
        </w:rPr>
        <w:t>En ningún caso procederá la cesión anterior tratándose de inmuebles con mejoras construidas sobre bienes de uso público o destinados a la salud y a la educación. Tampoco procederá cuando se trate de inmuebles ubicados en zonas insalubres o zonas de alto riesgo no mitigable o en suelo de protección, de conformidad con las disposiciones locales sobre la materia.</w:t>
      </w:r>
    </w:p>
    <w:p w14:paraId="79CE78BC" w14:textId="77777777" w:rsidR="001067CD" w:rsidRPr="001067CD" w:rsidRDefault="001067CD" w:rsidP="001067CD">
      <w:pPr>
        <w:shd w:val="clear" w:color="auto" w:fill="FFFFFF"/>
        <w:spacing w:before="100" w:beforeAutospacing="1" w:after="100" w:afterAutospacing="1" w:line="240" w:lineRule="auto"/>
        <w:ind w:left="708"/>
        <w:jc w:val="both"/>
        <w:rPr>
          <w:rFonts w:ascii="Arial" w:eastAsia="Times New Roman" w:hAnsi="Arial" w:cs="Arial"/>
          <w:i/>
          <w:iCs/>
          <w:sz w:val="20"/>
          <w:szCs w:val="20"/>
          <w:lang w:eastAsia="es-CO"/>
        </w:rPr>
      </w:pPr>
      <w:r w:rsidRPr="001067CD">
        <w:rPr>
          <w:rFonts w:ascii="Arial" w:eastAsia="Times New Roman" w:hAnsi="Arial" w:cs="Arial"/>
          <w:b/>
          <w:bCs/>
          <w:i/>
          <w:iCs/>
          <w:sz w:val="20"/>
          <w:szCs w:val="20"/>
          <w:lang w:eastAsia="es-CO"/>
        </w:rPr>
        <w:t>PARÁGRAFO 1. </w:t>
      </w:r>
      <w:r w:rsidRPr="001067CD">
        <w:rPr>
          <w:rFonts w:ascii="Arial" w:eastAsia="Times New Roman" w:hAnsi="Arial" w:cs="Arial"/>
          <w:i/>
          <w:iCs/>
          <w:sz w:val="20"/>
          <w:szCs w:val="20"/>
          <w:lang w:eastAsia="es-CO"/>
        </w:rPr>
        <w:t>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00FAB43E" w14:textId="77777777" w:rsidR="001067CD" w:rsidRPr="001067CD" w:rsidRDefault="001067CD" w:rsidP="001067CD">
      <w:pPr>
        <w:shd w:val="clear" w:color="auto" w:fill="FFFFFF"/>
        <w:spacing w:before="100" w:beforeAutospacing="1" w:after="100" w:afterAutospacing="1" w:line="240" w:lineRule="auto"/>
        <w:ind w:left="708"/>
        <w:jc w:val="both"/>
        <w:rPr>
          <w:rFonts w:ascii="Arial" w:eastAsia="Times New Roman" w:hAnsi="Arial" w:cs="Arial"/>
          <w:i/>
          <w:iCs/>
          <w:sz w:val="20"/>
          <w:szCs w:val="20"/>
          <w:lang w:eastAsia="es-CO"/>
        </w:rPr>
      </w:pPr>
      <w:r w:rsidRPr="001067CD">
        <w:rPr>
          <w:rFonts w:ascii="Arial" w:eastAsia="Times New Roman" w:hAnsi="Arial" w:cs="Arial"/>
          <w:b/>
          <w:bCs/>
          <w:i/>
          <w:iCs/>
          <w:sz w:val="20"/>
          <w:szCs w:val="20"/>
          <w:lang w:eastAsia="es-CO"/>
        </w:rPr>
        <w:t>PARÁGRAFO 2. </w:t>
      </w:r>
      <w:r w:rsidRPr="001067CD">
        <w:rPr>
          <w:rFonts w:ascii="Arial" w:eastAsia="Times New Roman" w:hAnsi="Arial" w:cs="Arial"/>
          <w:i/>
          <w:iCs/>
          <w:sz w:val="20"/>
          <w:szCs w:val="20"/>
          <w:lang w:eastAsia="es-CO"/>
        </w:rPr>
        <w:t>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2CE17063" w14:textId="77777777" w:rsidR="001067CD" w:rsidRPr="001067CD" w:rsidRDefault="001067CD" w:rsidP="001067CD">
      <w:pPr>
        <w:shd w:val="clear" w:color="auto" w:fill="FFFFFF"/>
        <w:spacing w:before="100" w:beforeAutospacing="1" w:after="100" w:afterAutospacing="1" w:line="240" w:lineRule="auto"/>
        <w:ind w:left="708"/>
        <w:jc w:val="both"/>
        <w:rPr>
          <w:rFonts w:ascii="Arial" w:eastAsia="Times New Roman" w:hAnsi="Arial" w:cs="Arial"/>
          <w:i/>
          <w:iCs/>
          <w:sz w:val="20"/>
          <w:szCs w:val="20"/>
          <w:lang w:eastAsia="es-CO"/>
        </w:rPr>
      </w:pPr>
      <w:r w:rsidRPr="001067CD">
        <w:rPr>
          <w:rFonts w:ascii="Arial" w:eastAsia="Times New Roman" w:hAnsi="Arial" w:cs="Arial"/>
          <w:b/>
          <w:bCs/>
          <w:i/>
          <w:iCs/>
          <w:sz w:val="20"/>
          <w:szCs w:val="20"/>
          <w:lang w:eastAsia="es-CO"/>
        </w:rPr>
        <w:t>PARÁGRAFO 3</w:t>
      </w:r>
      <w:r w:rsidRPr="001067CD">
        <w:rPr>
          <w:rFonts w:ascii="Arial" w:eastAsia="Times New Roman" w:hAnsi="Arial" w:cs="Arial"/>
          <w:i/>
          <w:iCs/>
          <w:sz w:val="20"/>
          <w:szCs w:val="20"/>
          <w:lang w:eastAsia="es-CO"/>
        </w:rPr>
        <w:t>. En las resoluciones administrativas de transferencia mediante cesión a título gratuito, se constituirá patrimonio de familia inembargable.</w:t>
      </w:r>
    </w:p>
    <w:p w14:paraId="5FA152D7" w14:textId="77777777" w:rsidR="001067CD" w:rsidRPr="001067CD" w:rsidRDefault="001067CD" w:rsidP="001067CD">
      <w:pPr>
        <w:shd w:val="clear" w:color="auto" w:fill="FFFFFF"/>
        <w:spacing w:before="100" w:beforeAutospacing="1" w:after="100" w:afterAutospacing="1" w:line="240" w:lineRule="auto"/>
        <w:ind w:left="708"/>
        <w:jc w:val="both"/>
        <w:rPr>
          <w:rFonts w:ascii="Arial" w:eastAsia="Times New Roman" w:hAnsi="Arial" w:cs="Arial"/>
          <w:i/>
          <w:iCs/>
          <w:sz w:val="20"/>
          <w:szCs w:val="20"/>
          <w:lang w:eastAsia="es-CO"/>
        </w:rPr>
      </w:pPr>
      <w:r w:rsidRPr="001067CD">
        <w:rPr>
          <w:rFonts w:ascii="Arial" w:eastAsia="Times New Roman" w:hAnsi="Arial" w:cs="Arial"/>
          <w:b/>
          <w:bCs/>
          <w:i/>
          <w:iCs/>
          <w:sz w:val="20"/>
          <w:szCs w:val="20"/>
          <w:lang w:eastAsia="es-CO"/>
        </w:rPr>
        <w:t>PARÁGRAFO 4. </w:t>
      </w:r>
      <w:r w:rsidRPr="001067CD">
        <w:rPr>
          <w:rFonts w:ascii="Arial" w:eastAsia="Times New Roman" w:hAnsi="Arial" w:cs="Arial"/>
          <w:i/>
          <w:iCs/>
          <w:sz w:val="20"/>
          <w:szCs w:val="20"/>
          <w:lang w:eastAsia="es-CO"/>
        </w:rPr>
        <w:t>La cesión de la que trata el presente artículo solo procederá siempre y cuando el beneficiario asuma y acredite el cumplimiento de las obligaciones fiscales pendientes de pago con la entidad territorial, generadas por el inmueble a titular por concepto de impuesto predial.</w:t>
      </w:r>
    </w:p>
    <w:p w14:paraId="4AF3F562" w14:textId="6E18D902" w:rsidR="001067CD" w:rsidRPr="001067CD" w:rsidRDefault="001067CD" w:rsidP="001067CD">
      <w:pPr>
        <w:shd w:val="clear" w:color="auto" w:fill="FFFFFF"/>
        <w:spacing w:before="100" w:beforeAutospacing="1" w:after="100" w:afterAutospacing="1" w:line="240" w:lineRule="auto"/>
        <w:ind w:left="708"/>
        <w:jc w:val="both"/>
        <w:rPr>
          <w:rFonts w:ascii="Arial" w:eastAsia="Times New Roman" w:hAnsi="Arial" w:cs="Arial"/>
          <w:i/>
          <w:iCs/>
          <w:sz w:val="20"/>
          <w:szCs w:val="20"/>
          <w:lang w:eastAsia="es-CO"/>
        </w:rPr>
      </w:pPr>
      <w:r w:rsidRPr="001067CD">
        <w:rPr>
          <w:rFonts w:ascii="Arial" w:eastAsia="Times New Roman" w:hAnsi="Arial" w:cs="Arial"/>
          <w:b/>
          <w:bCs/>
          <w:i/>
          <w:iCs/>
          <w:sz w:val="20"/>
          <w:szCs w:val="20"/>
          <w:lang w:eastAsia="es-CO"/>
        </w:rPr>
        <w:lastRenderedPageBreak/>
        <w:t>PARÁGRAFO 5. </w:t>
      </w:r>
      <w:r w:rsidRPr="001067CD">
        <w:rPr>
          <w:rFonts w:ascii="Arial" w:eastAsia="Times New Roman" w:hAnsi="Arial" w:cs="Arial"/>
          <w:i/>
          <w:iCs/>
          <w:sz w:val="20"/>
          <w:szCs w:val="20"/>
          <w:lang w:eastAsia="es-CO"/>
        </w:rPr>
        <w:t>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r>
        <w:rPr>
          <w:rFonts w:ascii="Arial" w:eastAsia="Times New Roman" w:hAnsi="Arial" w:cs="Arial"/>
          <w:i/>
          <w:iCs/>
          <w:sz w:val="20"/>
          <w:szCs w:val="20"/>
          <w:lang w:eastAsia="es-CO"/>
        </w:rPr>
        <w:t>”</w:t>
      </w:r>
    </w:p>
    <w:p w14:paraId="7752C115" w14:textId="4C648547" w:rsidR="001067CD" w:rsidRDefault="0090525F" w:rsidP="0014716B">
      <w:pPr>
        <w:jc w:val="both"/>
        <w:rPr>
          <w:rFonts w:ascii="Arial" w:eastAsia="Times New Roman" w:hAnsi="Arial" w:cs="Arial"/>
          <w:sz w:val="24"/>
          <w:szCs w:val="24"/>
          <w:lang w:eastAsia="es-CO"/>
        </w:rPr>
      </w:pPr>
      <w:r>
        <w:rPr>
          <w:rFonts w:ascii="Arial" w:eastAsia="Times New Roman" w:hAnsi="Arial" w:cs="Arial"/>
          <w:sz w:val="24"/>
          <w:szCs w:val="24"/>
          <w:lang w:eastAsia="es-CO"/>
        </w:rPr>
        <w:t>Que el Decreto 149 de 2020, expido por el Ministerio de Vivienda, ciudad y Territorio, reglament</w:t>
      </w:r>
      <w:r w:rsidR="0014716B">
        <w:rPr>
          <w:rFonts w:ascii="Arial" w:eastAsia="Times New Roman" w:hAnsi="Arial" w:cs="Arial"/>
          <w:sz w:val="24"/>
          <w:szCs w:val="24"/>
          <w:lang w:eastAsia="es-CO"/>
        </w:rPr>
        <w:t xml:space="preserve">a el </w:t>
      </w:r>
      <w:r w:rsidR="00E375F9">
        <w:rPr>
          <w:rFonts w:ascii="Arial" w:eastAsia="Times New Roman" w:hAnsi="Arial" w:cs="Arial"/>
          <w:sz w:val="24"/>
          <w:szCs w:val="24"/>
          <w:lang w:eastAsia="es-CO"/>
        </w:rPr>
        <w:t>artículo</w:t>
      </w:r>
      <w:r w:rsidR="0014716B">
        <w:rPr>
          <w:rFonts w:ascii="Arial" w:eastAsia="Times New Roman" w:hAnsi="Arial" w:cs="Arial"/>
          <w:sz w:val="24"/>
          <w:szCs w:val="24"/>
          <w:lang w:eastAsia="es-CO"/>
        </w:rPr>
        <w:t xml:space="preserve"> 277 de la Ley 1955 de 2019 y modifica el Decreto 1077 de 2015, </w:t>
      </w:r>
      <w:r w:rsidR="00E93733" w:rsidRPr="00E93733">
        <w:rPr>
          <w:rFonts w:ascii="Arial" w:eastAsia="Times New Roman" w:hAnsi="Arial" w:cs="Arial"/>
          <w:sz w:val="24"/>
          <w:szCs w:val="24"/>
          <w:lang w:eastAsia="es-CO"/>
        </w:rPr>
        <w:t>en los aspectos relacionados con la cesión gratuita de bienes inmuebles fiscales urbanos ocupados por un tercero de manera ilegal con mejoras o construcciones de destinación económica habitacional, siempre que se demuestre la ocupación ininterrumpida de diez (10) años.</w:t>
      </w:r>
    </w:p>
    <w:p w14:paraId="69B871FF" w14:textId="4C506245" w:rsidR="00F46EB0" w:rsidRDefault="00F46EB0" w:rsidP="00214DAE">
      <w:pPr>
        <w:jc w:val="both"/>
        <w:rPr>
          <w:rFonts w:ascii="Arial" w:eastAsia="Times New Roman" w:hAnsi="Arial" w:cs="Arial"/>
          <w:sz w:val="24"/>
          <w:szCs w:val="24"/>
          <w:lang w:eastAsia="es-CO"/>
        </w:rPr>
      </w:pPr>
      <w:r>
        <w:rPr>
          <w:rFonts w:ascii="Arial" w:eastAsia="Times New Roman" w:hAnsi="Arial" w:cs="Arial"/>
          <w:sz w:val="24"/>
          <w:szCs w:val="24"/>
          <w:lang w:eastAsia="es-CO"/>
        </w:rPr>
        <w:t xml:space="preserve">Que la Ley 2044 de 2020 conllevo al Ministerio de vivienda, Ciudad y Territorio proferir el Decreto 523 del 14 de mayo de 2021, modificando y adicionando algunos artículos referentes a la cesión a título gratuito, la enajenación de bienes fiscales y la transferencia entre entidades. </w:t>
      </w:r>
    </w:p>
    <w:p w14:paraId="18F61982" w14:textId="27590DBD" w:rsidR="00CA616E" w:rsidRPr="001F58FA" w:rsidRDefault="00CA616E" w:rsidP="001F58FA">
      <w:pPr>
        <w:jc w:val="both"/>
        <w:rPr>
          <w:rFonts w:ascii="Arial" w:hAnsi="Arial" w:cs="Arial"/>
          <w:sz w:val="24"/>
          <w:szCs w:val="24"/>
          <w:lang w:eastAsia="es-CO"/>
        </w:rPr>
      </w:pPr>
      <w:r w:rsidRPr="001F58FA">
        <w:rPr>
          <w:rFonts w:ascii="Arial" w:hAnsi="Arial" w:cs="Arial"/>
          <w:sz w:val="24"/>
          <w:szCs w:val="24"/>
          <w:lang w:eastAsia="es-CO"/>
        </w:rPr>
        <w:t>Que la formalización de la propiedad inmueble constituye un mecanismo fundamental para garantizar la seguridad jurídica, el acceso a servicios financieros y el desarrollo territorial.</w:t>
      </w:r>
    </w:p>
    <w:p w14:paraId="712ACF97" w14:textId="2EBA3CE4" w:rsidR="00150A4B" w:rsidRDefault="00F46EB0" w:rsidP="001F58FA">
      <w:pPr>
        <w:jc w:val="both"/>
        <w:rPr>
          <w:rFonts w:ascii="Arial" w:hAnsi="Arial" w:cs="Arial"/>
          <w:sz w:val="24"/>
          <w:szCs w:val="24"/>
          <w:lang w:eastAsia="es-CO"/>
        </w:rPr>
      </w:pPr>
      <w:r>
        <w:rPr>
          <w:rFonts w:ascii="Arial" w:hAnsi="Arial" w:cs="Arial"/>
          <w:sz w:val="24"/>
          <w:szCs w:val="24"/>
          <w:lang w:eastAsia="es-CO"/>
        </w:rPr>
        <w:t xml:space="preserve">Que un alto porcentaje de la </w:t>
      </w:r>
      <w:r w:rsidR="007B15C3">
        <w:rPr>
          <w:rFonts w:ascii="Arial" w:hAnsi="Arial" w:cs="Arial"/>
          <w:sz w:val="24"/>
          <w:szCs w:val="24"/>
          <w:lang w:eastAsia="es-CO"/>
        </w:rPr>
        <w:t>población del Municipio de Dibulla, La Guajira, habita en lotes que forman parte de predios de mayor extensión que tienen</w:t>
      </w:r>
      <w:r w:rsidR="00150A4B">
        <w:rPr>
          <w:rFonts w:ascii="Arial" w:hAnsi="Arial" w:cs="Arial"/>
          <w:sz w:val="24"/>
          <w:szCs w:val="24"/>
          <w:lang w:eastAsia="es-CO"/>
        </w:rPr>
        <w:t xml:space="preserve"> que es necesario el proceso de titulación de los predios urbanos a los hogares que lo ocupan, además de garantizarle su condición de propietario y mejorar sus condiciones de vida; que les permitirá apropiar recursos para subsidios de mejoramiento de vivienda de interés social ante las entidades competentes y realizar otras diligencias de acuerdo con sus necesidades.</w:t>
      </w:r>
    </w:p>
    <w:p w14:paraId="7895564D" w14:textId="682A7ED2" w:rsidR="00CA616E" w:rsidRDefault="00CA616E" w:rsidP="001F58FA">
      <w:pPr>
        <w:jc w:val="both"/>
        <w:rPr>
          <w:rFonts w:ascii="Arial" w:hAnsi="Arial" w:cs="Arial"/>
          <w:sz w:val="24"/>
          <w:szCs w:val="24"/>
          <w:lang w:eastAsia="es-CO"/>
        </w:rPr>
      </w:pPr>
      <w:r w:rsidRPr="001F58FA">
        <w:rPr>
          <w:rFonts w:ascii="Arial" w:hAnsi="Arial" w:cs="Arial"/>
          <w:sz w:val="24"/>
          <w:szCs w:val="24"/>
          <w:lang w:eastAsia="es-CO"/>
        </w:rPr>
        <w:t>Que es necesario implementar un programa integral que permita adelantar procesos de formalización, saneamiento y titulación de predios urbanos y rurales.</w:t>
      </w:r>
    </w:p>
    <w:p w14:paraId="41503AF8" w14:textId="7E799E62" w:rsidR="0014716B" w:rsidRPr="001F58FA" w:rsidRDefault="0014716B" w:rsidP="001F58FA">
      <w:pPr>
        <w:jc w:val="both"/>
        <w:rPr>
          <w:rFonts w:ascii="Arial" w:hAnsi="Arial" w:cs="Arial"/>
          <w:sz w:val="24"/>
          <w:szCs w:val="24"/>
          <w:lang w:eastAsia="es-CO"/>
        </w:rPr>
      </w:pPr>
      <w:r>
        <w:rPr>
          <w:rFonts w:ascii="Arial" w:hAnsi="Arial" w:cs="Arial"/>
          <w:sz w:val="24"/>
          <w:szCs w:val="24"/>
          <w:lang w:eastAsia="es-CO"/>
        </w:rPr>
        <w:t>Que la oficina de Planeación Municipal o quien haga sus veces deberá certificar que los predios que sean objeto de aplicación de este Acuerdo Municipal no se encuentren en áreas insalubres, de riesgos o zonas de conservación o protección ambiental y en general, que no hacen parte de las áreas relacionadas en los artículos 35 y 33 de la Ley 388 de 1997.</w:t>
      </w:r>
    </w:p>
    <w:p w14:paraId="141CB24D" w14:textId="77777777" w:rsidR="00CA616E" w:rsidRPr="001F58FA" w:rsidRDefault="00CA616E" w:rsidP="001F58FA">
      <w:pPr>
        <w:jc w:val="both"/>
        <w:rPr>
          <w:rFonts w:ascii="Arial" w:hAnsi="Arial" w:cs="Arial"/>
          <w:sz w:val="24"/>
          <w:szCs w:val="24"/>
          <w:lang w:eastAsia="es-CO"/>
        </w:rPr>
      </w:pPr>
      <w:r w:rsidRPr="001F58FA">
        <w:rPr>
          <w:rFonts w:ascii="Arial" w:hAnsi="Arial" w:cs="Arial"/>
          <w:sz w:val="24"/>
          <w:szCs w:val="24"/>
          <w:lang w:eastAsia="es-CO"/>
        </w:rPr>
        <w:t>Que la administración municipal, en coordinación con entidades del orden nacional, podrá adelantar procesos de titulación masiva en beneficio de la comunidad.</w:t>
      </w:r>
    </w:p>
    <w:p w14:paraId="2BF0DDDC" w14:textId="5BB20A83" w:rsidR="00CA616E" w:rsidRPr="001F58FA" w:rsidRDefault="00ED0EF5" w:rsidP="001F58FA">
      <w:pPr>
        <w:rPr>
          <w:rFonts w:ascii="Arial" w:hAnsi="Arial" w:cs="Arial"/>
          <w:sz w:val="24"/>
          <w:szCs w:val="24"/>
          <w:lang w:eastAsia="es-CO"/>
        </w:rPr>
      </w:pPr>
      <w:r>
        <w:rPr>
          <w:rFonts w:ascii="Arial" w:hAnsi="Arial" w:cs="Arial"/>
          <w:sz w:val="24"/>
          <w:szCs w:val="24"/>
          <w:lang w:eastAsia="es-CO"/>
        </w:rPr>
        <w:t xml:space="preserve">En </w:t>
      </w:r>
      <w:r w:rsidR="00E375F9">
        <w:rPr>
          <w:rFonts w:ascii="Arial" w:hAnsi="Arial" w:cs="Arial"/>
          <w:sz w:val="24"/>
          <w:szCs w:val="24"/>
          <w:lang w:eastAsia="es-CO"/>
        </w:rPr>
        <w:t>mérito</w:t>
      </w:r>
      <w:r>
        <w:rPr>
          <w:rFonts w:ascii="Arial" w:hAnsi="Arial" w:cs="Arial"/>
          <w:sz w:val="24"/>
          <w:szCs w:val="24"/>
          <w:lang w:eastAsia="es-CO"/>
        </w:rPr>
        <w:t xml:space="preserve"> de lo expuesto, el Honorable Concejo Municipal,</w:t>
      </w:r>
    </w:p>
    <w:p w14:paraId="1A25B22A" w14:textId="77777777" w:rsidR="00547530" w:rsidRDefault="00547530" w:rsidP="001F58FA">
      <w:pPr>
        <w:jc w:val="center"/>
        <w:rPr>
          <w:rFonts w:ascii="Arial" w:hAnsi="Arial" w:cs="Arial"/>
          <w:b/>
          <w:bCs/>
          <w:sz w:val="24"/>
          <w:szCs w:val="24"/>
          <w:lang w:eastAsia="es-CO"/>
        </w:rPr>
      </w:pPr>
    </w:p>
    <w:p w14:paraId="527C0901" w14:textId="0A8136F3" w:rsidR="00CA616E" w:rsidRPr="001F58FA" w:rsidRDefault="00CA616E" w:rsidP="001F58FA">
      <w:pPr>
        <w:jc w:val="center"/>
        <w:rPr>
          <w:rFonts w:ascii="Arial" w:hAnsi="Arial" w:cs="Arial"/>
          <w:b/>
          <w:bCs/>
          <w:sz w:val="24"/>
          <w:szCs w:val="24"/>
          <w:lang w:eastAsia="es-CO"/>
        </w:rPr>
      </w:pPr>
      <w:r w:rsidRPr="001F58FA">
        <w:rPr>
          <w:rFonts w:ascii="Arial" w:hAnsi="Arial" w:cs="Arial"/>
          <w:b/>
          <w:bCs/>
          <w:sz w:val="24"/>
          <w:szCs w:val="24"/>
          <w:lang w:eastAsia="es-CO"/>
        </w:rPr>
        <w:t>ACUERDA</w:t>
      </w:r>
    </w:p>
    <w:p w14:paraId="5A828414" w14:textId="37BD5315" w:rsidR="0011205E" w:rsidRDefault="00CA616E" w:rsidP="00C452B1">
      <w:pPr>
        <w:jc w:val="both"/>
        <w:rPr>
          <w:rFonts w:ascii="Arial" w:eastAsia="Times New Roman" w:hAnsi="Arial" w:cs="Arial"/>
          <w:sz w:val="24"/>
          <w:szCs w:val="24"/>
          <w:lang w:eastAsia="es-CO"/>
        </w:rPr>
      </w:pPr>
      <w:r w:rsidRPr="00C452B1">
        <w:rPr>
          <w:rFonts w:ascii="Arial" w:hAnsi="Arial" w:cs="Arial"/>
          <w:b/>
          <w:bCs/>
          <w:sz w:val="24"/>
          <w:szCs w:val="24"/>
          <w:lang w:eastAsia="es-CO"/>
        </w:rPr>
        <w:t>ARTÍCULO PRIMERO</w:t>
      </w:r>
      <w:r w:rsidRPr="001F58FA">
        <w:rPr>
          <w:rFonts w:ascii="Arial" w:hAnsi="Arial" w:cs="Arial"/>
          <w:sz w:val="24"/>
          <w:szCs w:val="24"/>
          <w:lang w:eastAsia="es-CO"/>
        </w:rPr>
        <w:t xml:space="preserve">. </w:t>
      </w:r>
      <w:r w:rsidR="00ED0EF5">
        <w:rPr>
          <w:rFonts w:ascii="Arial" w:hAnsi="Arial" w:cs="Arial"/>
          <w:sz w:val="24"/>
          <w:szCs w:val="24"/>
          <w:lang w:eastAsia="es-CO"/>
        </w:rPr>
        <w:t xml:space="preserve">Facúltese al </w:t>
      </w:r>
      <w:proofErr w:type="gramStart"/>
      <w:r w:rsidR="00ED0EF5">
        <w:rPr>
          <w:rFonts w:ascii="Arial" w:hAnsi="Arial" w:cs="Arial"/>
          <w:sz w:val="24"/>
          <w:szCs w:val="24"/>
          <w:lang w:eastAsia="es-CO"/>
        </w:rPr>
        <w:t>Alcalde</w:t>
      </w:r>
      <w:proofErr w:type="gramEnd"/>
      <w:r w:rsidR="00ED0EF5">
        <w:rPr>
          <w:rFonts w:ascii="Arial" w:hAnsi="Arial" w:cs="Arial"/>
          <w:sz w:val="24"/>
          <w:szCs w:val="24"/>
          <w:lang w:eastAsia="es-CO"/>
        </w:rPr>
        <w:t xml:space="preserve"> del Municipio de Dibulla, La Guajira, para que transfiera mediante </w:t>
      </w:r>
      <w:r w:rsidR="00C452B1">
        <w:rPr>
          <w:rFonts w:ascii="Arial" w:hAnsi="Arial" w:cs="Arial"/>
          <w:sz w:val="24"/>
          <w:szCs w:val="24"/>
          <w:lang w:eastAsia="es-CO"/>
        </w:rPr>
        <w:t>cesión</w:t>
      </w:r>
      <w:r w:rsidR="00ED0EF5">
        <w:rPr>
          <w:rFonts w:ascii="Arial" w:hAnsi="Arial" w:cs="Arial"/>
          <w:sz w:val="24"/>
          <w:szCs w:val="24"/>
          <w:lang w:eastAsia="es-CO"/>
        </w:rPr>
        <w:t xml:space="preserve"> a </w:t>
      </w:r>
      <w:r w:rsidR="00E375F9">
        <w:rPr>
          <w:rFonts w:ascii="Arial" w:hAnsi="Arial" w:cs="Arial"/>
          <w:sz w:val="24"/>
          <w:szCs w:val="24"/>
          <w:lang w:eastAsia="es-CO"/>
        </w:rPr>
        <w:t>título</w:t>
      </w:r>
      <w:r w:rsidR="00ED0EF5">
        <w:rPr>
          <w:rFonts w:ascii="Arial" w:hAnsi="Arial" w:cs="Arial"/>
          <w:sz w:val="24"/>
          <w:szCs w:val="24"/>
          <w:lang w:eastAsia="es-CO"/>
        </w:rPr>
        <w:t xml:space="preserve"> gratuito o enajene mediante resolución administrativa, los bienes inmuebles ocupados ilegalmente, de propiedad del Municipio de conformidad con lo establecido en el </w:t>
      </w:r>
      <w:r w:rsidR="00E375F9">
        <w:rPr>
          <w:rFonts w:ascii="Arial" w:hAnsi="Arial" w:cs="Arial"/>
          <w:sz w:val="24"/>
          <w:szCs w:val="24"/>
          <w:lang w:eastAsia="es-CO"/>
        </w:rPr>
        <w:t>artículo</w:t>
      </w:r>
      <w:r w:rsidR="00ED0EF5">
        <w:rPr>
          <w:rFonts w:ascii="Arial" w:hAnsi="Arial" w:cs="Arial"/>
          <w:sz w:val="24"/>
          <w:szCs w:val="24"/>
          <w:lang w:eastAsia="es-CO"/>
        </w:rPr>
        <w:t xml:space="preserve"> 277 de la Ley 1955 de 2019, Decreto 149 de 2020 y </w:t>
      </w:r>
      <w:r w:rsidR="00C452B1">
        <w:rPr>
          <w:rFonts w:ascii="Arial" w:eastAsia="Times New Roman" w:hAnsi="Arial" w:cs="Arial"/>
          <w:sz w:val="24"/>
          <w:szCs w:val="24"/>
          <w:lang w:eastAsia="es-CO"/>
        </w:rPr>
        <w:t>Decreto 523 del 14 de mayo de 2021 o las normas que la modifiquen, adicionen, complementen o reglamenten.</w:t>
      </w:r>
    </w:p>
    <w:p w14:paraId="0BFE5A22" w14:textId="77777777" w:rsidR="00FF31A8" w:rsidRPr="009064A0" w:rsidRDefault="00FF31A8" w:rsidP="00FF31A8">
      <w:pPr>
        <w:rPr>
          <w:rFonts w:ascii="Arial" w:hAnsi="Arial" w:cs="Arial"/>
          <w:sz w:val="24"/>
          <w:szCs w:val="24"/>
          <w:lang w:eastAsia="es-CO"/>
        </w:rPr>
      </w:pPr>
      <w:r w:rsidRPr="009064A0">
        <w:rPr>
          <w:rFonts w:ascii="Arial" w:hAnsi="Arial" w:cs="Arial"/>
          <w:b/>
          <w:bCs/>
          <w:sz w:val="24"/>
          <w:szCs w:val="24"/>
          <w:lang w:eastAsia="es-CO"/>
        </w:rPr>
        <w:t>ARTÍCULO SEGUNDO</w:t>
      </w:r>
      <w:r w:rsidRPr="009064A0">
        <w:rPr>
          <w:rFonts w:ascii="Arial" w:hAnsi="Arial" w:cs="Arial"/>
          <w:sz w:val="24"/>
          <w:szCs w:val="24"/>
          <w:lang w:eastAsia="es-CO"/>
        </w:rPr>
        <w:t>.</w:t>
      </w:r>
      <w:r w:rsidRPr="009064A0">
        <w:rPr>
          <w:rFonts w:ascii="Arial" w:hAnsi="Arial" w:cs="Arial"/>
          <w:sz w:val="24"/>
          <w:szCs w:val="24"/>
        </w:rPr>
        <w:t xml:space="preserve"> </w:t>
      </w:r>
      <w:r>
        <w:rPr>
          <w:rFonts w:ascii="Arial" w:hAnsi="Arial" w:cs="Arial"/>
          <w:sz w:val="24"/>
          <w:szCs w:val="24"/>
        </w:rPr>
        <w:t>P</w:t>
      </w:r>
      <w:r w:rsidRPr="009064A0">
        <w:rPr>
          <w:rFonts w:ascii="Arial" w:hAnsi="Arial" w:cs="Arial"/>
          <w:sz w:val="24"/>
          <w:szCs w:val="24"/>
        </w:rPr>
        <w:t xml:space="preserve">lazo de la autorización: </w:t>
      </w:r>
      <w:r w:rsidRPr="009064A0">
        <w:rPr>
          <w:rFonts w:ascii="Arial" w:hAnsi="Arial" w:cs="Arial"/>
          <w:sz w:val="24"/>
          <w:szCs w:val="24"/>
          <w:lang w:eastAsia="es-CO"/>
        </w:rPr>
        <w:t>hasta el 31 de diciembre del año 2027</w:t>
      </w:r>
      <w:r>
        <w:rPr>
          <w:rFonts w:ascii="Arial" w:hAnsi="Arial" w:cs="Arial"/>
          <w:sz w:val="24"/>
          <w:szCs w:val="24"/>
          <w:lang w:eastAsia="es-CO"/>
        </w:rPr>
        <w:t>.</w:t>
      </w:r>
    </w:p>
    <w:p w14:paraId="37D49415" w14:textId="4B36CABD" w:rsidR="00FF31A8" w:rsidRPr="007F322E" w:rsidRDefault="00FF31A8" w:rsidP="00FF31A8">
      <w:pPr>
        <w:jc w:val="both"/>
        <w:rPr>
          <w:rFonts w:ascii="Arial" w:hAnsi="Arial" w:cs="Arial"/>
          <w:sz w:val="24"/>
          <w:szCs w:val="24"/>
        </w:rPr>
      </w:pPr>
      <w:r w:rsidRPr="009064A0">
        <w:rPr>
          <w:rFonts w:ascii="Arial" w:hAnsi="Arial" w:cs="Arial"/>
          <w:b/>
          <w:bCs/>
          <w:sz w:val="24"/>
          <w:szCs w:val="24"/>
          <w:lang w:eastAsia="es-CO"/>
        </w:rPr>
        <w:t xml:space="preserve">ARTÍCULO </w:t>
      </w:r>
      <w:r>
        <w:rPr>
          <w:rFonts w:ascii="Arial" w:hAnsi="Arial" w:cs="Arial"/>
          <w:b/>
          <w:bCs/>
          <w:sz w:val="24"/>
          <w:szCs w:val="24"/>
          <w:lang w:eastAsia="es-CO"/>
        </w:rPr>
        <w:t xml:space="preserve">TERCERO. </w:t>
      </w:r>
      <w:r w:rsidRPr="007F322E">
        <w:rPr>
          <w:rFonts w:ascii="Arial" w:hAnsi="Arial" w:cs="Arial"/>
          <w:sz w:val="24"/>
          <w:szCs w:val="24"/>
          <w:lang w:eastAsia="es-CO"/>
        </w:rPr>
        <w:t>L</w:t>
      </w:r>
      <w:r w:rsidRPr="007F322E">
        <w:rPr>
          <w:rFonts w:ascii="Arial" w:hAnsi="Arial" w:cs="Arial"/>
          <w:sz w:val="24"/>
          <w:szCs w:val="24"/>
        </w:rPr>
        <w:t xml:space="preserve">os beneficiarios deben cumplir con los requisitos del </w:t>
      </w:r>
      <w:r>
        <w:rPr>
          <w:rFonts w:ascii="Arial" w:hAnsi="Arial" w:cs="Arial"/>
          <w:sz w:val="24"/>
          <w:szCs w:val="24"/>
        </w:rPr>
        <w:t>D</w:t>
      </w:r>
      <w:r w:rsidRPr="007F322E">
        <w:rPr>
          <w:rFonts w:ascii="Arial" w:hAnsi="Arial" w:cs="Arial"/>
          <w:sz w:val="24"/>
          <w:szCs w:val="24"/>
        </w:rPr>
        <w:t>ecreto 149 de 2020</w:t>
      </w:r>
      <w:r w:rsidR="009175CF">
        <w:rPr>
          <w:rFonts w:ascii="Arial" w:hAnsi="Arial" w:cs="Arial"/>
          <w:sz w:val="24"/>
          <w:szCs w:val="24"/>
        </w:rPr>
        <w:t>.</w:t>
      </w:r>
    </w:p>
    <w:p w14:paraId="0D76428F" w14:textId="5AEF1C1E" w:rsidR="00C452B1" w:rsidRDefault="00C452B1" w:rsidP="00E26903">
      <w:pPr>
        <w:pStyle w:val="NormalWeb"/>
        <w:jc w:val="both"/>
        <w:rPr>
          <w:rFonts w:ascii="Arial" w:hAnsi="Arial" w:cs="Arial"/>
        </w:rPr>
      </w:pPr>
      <w:r w:rsidRPr="00F50E14">
        <w:rPr>
          <w:rFonts w:ascii="Arial" w:hAnsi="Arial" w:cs="Arial"/>
          <w:b/>
          <w:bCs/>
        </w:rPr>
        <w:t xml:space="preserve">ARTÍCULO </w:t>
      </w:r>
      <w:r w:rsidR="00FF31A8" w:rsidRPr="00F50E14">
        <w:rPr>
          <w:rFonts w:ascii="Arial" w:hAnsi="Arial" w:cs="Arial"/>
          <w:b/>
          <w:bCs/>
        </w:rPr>
        <w:t>CUARTO</w:t>
      </w:r>
      <w:r w:rsidRPr="00F50E14">
        <w:rPr>
          <w:rFonts w:ascii="Arial" w:hAnsi="Arial" w:cs="Arial"/>
        </w:rPr>
        <w:t xml:space="preserve">. </w:t>
      </w:r>
      <w:r w:rsidR="003A06D3">
        <w:rPr>
          <w:rFonts w:ascii="Arial" w:hAnsi="Arial" w:cs="Arial"/>
          <w:b/>
          <w:bCs/>
        </w:rPr>
        <w:t xml:space="preserve"> </w:t>
      </w:r>
      <w:r>
        <w:rPr>
          <w:rFonts w:ascii="Arial" w:hAnsi="Arial" w:cs="Arial"/>
        </w:rPr>
        <w:t>El presente Acuerdo rige a partir de la fecha de publicación y deroga todas las disposiciones del orden municipal que le sean contrarias.</w:t>
      </w:r>
    </w:p>
    <w:p w14:paraId="28195DF5" w14:textId="3AFDF6B1" w:rsidR="00C452B1" w:rsidRDefault="00C452B1" w:rsidP="001F58FA">
      <w:pPr>
        <w:rPr>
          <w:rStyle w:val="Textoennegrita"/>
          <w:rFonts w:ascii="Arial" w:hAnsi="Arial" w:cs="Arial"/>
          <w:b w:val="0"/>
          <w:bCs w:val="0"/>
          <w:sz w:val="24"/>
          <w:szCs w:val="24"/>
        </w:rPr>
      </w:pPr>
      <w:r>
        <w:rPr>
          <w:rStyle w:val="Textoennegrita"/>
          <w:rFonts w:ascii="Arial" w:hAnsi="Arial" w:cs="Arial"/>
          <w:b w:val="0"/>
          <w:bCs w:val="0"/>
          <w:sz w:val="24"/>
          <w:szCs w:val="24"/>
        </w:rPr>
        <w:t>Presentado a consideración del Honorable Concejo Municipal de</w:t>
      </w:r>
      <w:r w:rsidR="00FF31A8">
        <w:rPr>
          <w:rStyle w:val="Textoennegrita"/>
          <w:rFonts w:ascii="Arial" w:hAnsi="Arial" w:cs="Arial"/>
          <w:b w:val="0"/>
          <w:bCs w:val="0"/>
          <w:sz w:val="24"/>
          <w:szCs w:val="24"/>
        </w:rPr>
        <w:t xml:space="preserve"> Dibulla</w:t>
      </w:r>
      <w:r>
        <w:rPr>
          <w:rStyle w:val="Textoennegrita"/>
          <w:rFonts w:ascii="Arial" w:hAnsi="Arial" w:cs="Arial"/>
          <w:b w:val="0"/>
          <w:bCs w:val="0"/>
          <w:sz w:val="24"/>
          <w:szCs w:val="24"/>
        </w:rPr>
        <w:t>.</w:t>
      </w:r>
    </w:p>
    <w:p w14:paraId="6EF0D2D9" w14:textId="27D5B70F" w:rsidR="00C452B1" w:rsidRDefault="00C452B1" w:rsidP="001F58FA">
      <w:pPr>
        <w:rPr>
          <w:rStyle w:val="Textoennegrita"/>
          <w:rFonts w:ascii="Arial" w:hAnsi="Arial" w:cs="Arial"/>
          <w:b w:val="0"/>
          <w:bCs w:val="0"/>
          <w:sz w:val="24"/>
          <w:szCs w:val="24"/>
        </w:rPr>
      </w:pPr>
    </w:p>
    <w:p w14:paraId="7D722887" w14:textId="77777777" w:rsidR="00513DE6" w:rsidRDefault="00513DE6" w:rsidP="00513DE6">
      <w:pPr>
        <w:pStyle w:val="Sinespaciado"/>
        <w:rPr>
          <w:rFonts w:ascii="Arial" w:hAnsi="Arial" w:cs="Arial"/>
          <w:b/>
          <w:bCs/>
          <w:sz w:val="24"/>
          <w:szCs w:val="24"/>
          <w:lang w:eastAsia="es-CO"/>
        </w:rPr>
      </w:pPr>
      <w:r>
        <w:rPr>
          <w:rFonts w:ascii="Arial" w:hAnsi="Arial" w:cs="Arial"/>
          <w:b/>
          <w:bCs/>
          <w:sz w:val="24"/>
          <w:szCs w:val="24"/>
          <w:lang w:eastAsia="es-CO"/>
        </w:rPr>
        <w:t>ALBERTO MONTERO MOLINA</w:t>
      </w:r>
    </w:p>
    <w:p w14:paraId="1F89B84F" w14:textId="77777777" w:rsidR="00513DE6" w:rsidRDefault="00513DE6" w:rsidP="00513DE6">
      <w:pPr>
        <w:pStyle w:val="Sinespaciado"/>
        <w:rPr>
          <w:rStyle w:val="Textoennegrita"/>
        </w:rPr>
      </w:pPr>
      <w:r>
        <w:rPr>
          <w:rFonts w:ascii="Arial" w:hAnsi="Arial" w:cs="Arial"/>
          <w:sz w:val="24"/>
          <w:szCs w:val="24"/>
          <w:lang w:eastAsia="es-CO"/>
        </w:rPr>
        <w:t>Alcalde Municipal de Dibulla</w:t>
      </w:r>
    </w:p>
    <w:p w14:paraId="15F0D42F" w14:textId="03FE3DEE" w:rsidR="00107F7F" w:rsidRDefault="00107F7F" w:rsidP="001F58FA">
      <w:pPr>
        <w:rPr>
          <w:rStyle w:val="Textoennegrita"/>
          <w:rFonts w:ascii="Arial" w:hAnsi="Arial" w:cs="Arial"/>
          <w:b w:val="0"/>
          <w:bCs w:val="0"/>
          <w:sz w:val="24"/>
          <w:szCs w:val="24"/>
        </w:rPr>
      </w:pPr>
    </w:p>
    <w:sectPr w:rsidR="00107F7F" w:rsidSect="001F58FA">
      <w:pgSz w:w="12240" w:h="20160" w:code="5"/>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6CCF"/>
    <w:multiLevelType w:val="multilevel"/>
    <w:tmpl w:val="154EB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80566"/>
    <w:multiLevelType w:val="hybridMultilevel"/>
    <w:tmpl w:val="A32681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1B2B6B"/>
    <w:multiLevelType w:val="multilevel"/>
    <w:tmpl w:val="CD945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563599"/>
    <w:multiLevelType w:val="multilevel"/>
    <w:tmpl w:val="B8123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E1077D"/>
    <w:multiLevelType w:val="hybridMultilevel"/>
    <w:tmpl w:val="CAF6F9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DFA3455"/>
    <w:multiLevelType w:val="multilevel"/>
    <w:tmpl w:val="C0D40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F096C"/>
    <w:multiLevelType w:val="multilevel"/>
    <w:tmpl w:val="4E52F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2078E7"/>
    <w:multiLevelType w:val="multilevel"/>
    <w:tmpl w:val="FBC41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082672"/>
    <w:multiLevelType w:val="multilevel"/>
    <w:tmpl w:val="33906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1569C"/>
    <w:multiLevelType w:val="hybridMultilevel"/>
    <w:tmpl w:val="ECB8EB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BD82841"/>
    <w:multiLevelType w:val="multilevel"/>
    <w:tmpl w:val="F4CCE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9E7814"/>
    <w:multiLevelType w:val="multilevel"/>
    <w:tmpl w:val="C672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235827"/>
    <w:multiLevelType w:val="multilevel"/>
    <w:tmpl w:val="37B44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F86755"/>
    <w:multiLevelType w:val="multilevel"/>
    <w:tmpl w:val="E8746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C23522"/>
    <w:multiLevelType w:val="multilevel"/>
    <w:tmpl w:val="1F88F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F0297B"/>
    <w:multiLevelType w:val="multilevel"/>
    <w:tmpl w:val="2F9CD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C86E57"/>
    <w:multiLevelType w:val="multilevel"/>
    <w:tmpl w:val="9BFCC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C15464"/>
    <w:multiLevelType w:val="multilevel"/>
    <w:tmpl w:val="A4167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04019F"/>
    <w:multiLevelType w:val="hybridMultilevel"/>
    <w:tmpl w:val="E52663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4A52915"/>
    <w:multiLevelType w:val="multilevel"/>
    <w:tmpl w:val="81E0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19427C"/>
    <w:multiLevelType w:val="multilevel"/>
    <w:tmpl w:val="B1C8B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712633"/>
    <w:multiLevelType w:val="multilevel"/>
    <w:tmpl w:val="6D5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DF2456"/>
    <w:multiLevelType w:val="multilevel"/>
    <w:tmpl w:val="490CC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480D79"/>
    <w:multiLevelType w:val="multilevel"/>
    <w:tmpl w:val="3E8CF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812AB5"/>
    <w:multiLevelType w:val="hybridMultilevel"/>
    <w:tmpl w:val="1E3A1B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2EE16B0"/>
    <w:multiLevelType w:val="multilevel"/>
    <w:tmpl w:val="215A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D672E8"/>
    <w:multiLevelType w:val="multilevel"/>
    <w:tmpl w:val="E682A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7C0E47"/>
    <w:multiLevelType w:val="hybridMultilevel"/>
    <w:tmpl w:val="CFB29E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85C29B6"/>
    <w:multiLevelType w:val="multilevel"/>
    <w:tmpl w:val="BEF8B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012DF9"/>
    <w:multiLevelType w:val="multilevel"/>
    <w:tmpl w:val="D954E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AA1D06"/>
    <w:multiLevelType w:val="multilevel"/>
    <w:tmpl w:val="29809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21"/>
  </w:num>
  <w:num w:numId="3">
    <w:abstractNumId w:val="26"/>
  </w:num>
  <w:num w:numId="4">
    <w:abstractNumId w:val="30"/>
  </w:num>
  <w:num w:numId="5">
    <w:abstractNumId w:val="3"/>
  </w:num>
  <w:num w:numId="6">
    <w:abstractNumId w:val="0"/>
  </w:num>
  <w:num w:numId="7">
    <w:abstractNumId w:val="15"/>
  </w:num>
  <w:num w:numId="8">
    <w:abstractNumId w:val="10"/>
  </w:num>
  <w:num w:numId="9">
    <w:abstractNumId w:val="17"/>
  </w:num>
  <w:num w:numId="10">
    <w:abstractNumId w:val="13"/>
  </w:num>
  <w:num w:numId="11">
    <w:abstractNumId w:val="2"/>
  </w:num>
  <w:num w:numId="12">
    <w:abstractNumId w:val="25"/>
  </w:num>
  <w:num w:numId="13">
    <w:abstractNumId w:val="16"/>
  </w:num>
  <w:num w:numId="14">
    <w:abstractNumId w:val="29"/>
  </w:num>
  <w:num w:numId="15">
    <w:abstractNumId w:val="5"/>
  </w:num>
  <w:num w:numId="16">
    <w:abstractNumId w:val="7"/>
  </w:num>
  <w:num w:numId="17">
    <w:abstractNumId w:val="8"/>
  </w:num>
  <w:num w:numId="18">
    <w:abstractNumId w:val="19"/>
  </w:num>
  <w:num w:numId="19">
    <w:abstractNumId w:val="22"/>
  </w:num>
  <w:num w:numId="20">
    <w:abstractNumId w:val="12"/>
  </w:num>
  <w:num w:numId="21">
    <w:abstractNumId w:val="6"/>
  </w:num>
  <w:num w:numId="22">
    <w:abstractNumId w:val="14"/>
  </w:num>
  <w:num w:numId="23">
    <w:abstractNumId w:val="20"/>
  </w:num>
  <w:num w:numId="24">
    <w:abstractNumId w:val="11"/>
  </w:num>
  <w:num w:numId="25">
    <w:abstractNumId w:val="24"/>
  </w:num>
  <w:num w:numId="26">
    <w:abstractNumId w:val="18"/>
  </w:num>
  <w:num w:numId="27">
    <w:abstractNumId w:val="1"/>
  </w:num>
  <w:num w:numId="28">
    <w:abstractNumId w:val="4"/>
  </w:num>
  <w:num w:numId="29">
    <w:abstractNumId w:val="27"/>
  </w:num>
  <w:num w:numId="30">
    <w:abstractNumId w:val="9"/>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16E"/>
    <w:rsid w:val="000F4361"/>
    <w:rsid w:val="001067CD"/>
    <w:rsid w:val="00107F7F"/>
    <w:rsid w:val="0011205E"/>
    <w:rsid w:val="001334BA"/>
    <w:rsid w:val="0014716B"/>
    <w:rsid w:val="00150A4B"/>
    <w:rsid w:val="00163F3B"/>
    <w:rsid w:val="001F58FA"/>
    <w:rsid w:val="00214DAE"/>
    <w:rsid w:val="003A06D3"/>
    <w:rsid w:val="003B77F5"/>
    <w:rsid w:val="00513DE6"/>
    <w:rsid w:val="00547530"/>
    <w:rsid w:val="00591670"/>
    <w:rsid w:val="005B0964"/>
    <w:rsid w:val="00602556"/>
    <w:rsid w:val="00697DF0"/>
    <w:rsid w:val="007B15C3"/>
    <w:rsid w:val="00874325"/>
    <w:rsid w:val="0090525F"/>
    <w:rsid w:val="009175CF"/>
    <w:rsid w:val="009C2171"/>
    <w:rsid w:val="00A43B0E"/>
    <w:rsid w:val="00B92270"/>
    <w:rsid w:val="00C452B1"/>
    <w:rsid w:val="00C56290"/>
    <w:rsid w:val="00CA4149"/>
    <w:rsid w:val="00CA616E"/>
    <w:rsid w:val="00D130B7"/>
    <w:rsid w:val="00D64070"/>
    <w:rsid w:val="00E140C4"/>
    <w:rsid w:val="00E26903"/>
    <w:rsid w:val="00E375F9"/>
    <w:rsid w:val="00E83696"/>
    <w:rsid w:val="00E93733"/>
    <w:rsid w:val="00ED0EF5"/>
    <w:rsid w:val="00F46EB0"/>
    <w:rsid w:val="00F50E14"/>
    <w:rsid w:val="00F64764"/>
    <w:rsid w:val="00FF31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2227"/>
  <w15:chartTrackingRefBased/>
  <w15:docId w15:val="{AC67B74F-5D00-4B30-8935-FAD0CCD0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CA61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link w:val="Ttulo2Car"/>
    <w:uiPriority w:val="9"/>
    <w:qFormat/>
    <w:rsid w:val="00CA616E"/>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next w:val="Normal"/>
    <w:link w:val="Ttulo3Car"/>
    <w:uiPriority w:val="9"/>
    <w:semiHidden/>
    <w:unhideWhenUsed/>
    <w:qFormat/>
    <w:rsid w:val="001F58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A616E"/>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CA616E"/>
    <w:rPr>
      <w:rFonts w:ascii="Times New Roman" w:eastAsia="Times New Roman" w:hAnsi="Times New Roman" w:cs="Times New Roman"/>
      <w:b/>
      <w:bCs/>
      <w:sz w:val="36"/>
      <w:szCs w:val="36"/>
      <w:lang w:eastAsia="es-CO"/>
    </w:rPr>
  </w:style>
  <w:style w:type="paragraph" w:styleId="NormalWeb">
    <w:name w:val="Normal (Web)"/>
    <w:basedOn w:val="Normal"/>
    <w:uiPriority w:val="99"/>
    <w:unhideWhenUsed/>
    <w:rsid w:val="00CA616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CA616E"/>
    <w:rPr>
      <w:b/>
      <w:bCs/>
    </w:rPr>
  </w:style>
  <w:style w:type="character" w:customStyle="1" w:styleId="whitespace-normal">
    <w:name w:val="whitespace-normal"/>
    <w:basedOn w:val="Fuentedeprrafopredeter"/>
    <w:rsid w:val="00CA616E"/>
  </w:style>
  <w:style w:type="character" w:customStyle="1" w:styleId="Ttulo3Car">
    <w:name w:val="Título 3 Car"/>
    <w:basedOn w:val="Fuentedeprrafopredeter"/>
    <w:link w:val="Ttulo3"/>
    <w:uiPriority w:val="9"/>
    <w:semiHidden/>
    <w:rsid w:val="001F58FA"/>
    <w:rPr>
      <w:rFonts w:asciiTheme="majorHAnsi" w:eastAsiaTheme="majorEastAsia" w:hAnsiTheme="majorHAnsi" w:cstheme="majorBidi"/>
      <w:color w:val="1F3763" w:themeColor="accent1" w:themeShade="7F"/>
      <w:sz w:val="24"/>
      <w:szCs w:val="24"/>
    </w:rPr>
  </w:style>
  <w:style w:type="paragraph" w:styleId="Prrafodelista">
    <w:name w:val="List Paragraph"/>
    <w:basedOn w:val="Normal"/>
    <w:uiPriority w:val="34"/>
    <w:qFormat/>
    <w:rsid w:val="001F58FA"/>
    <w:pPr>
      <w:ind w:left="720"/>
      <w:contextualSpacing/>
    </w:pPr>
  </w:style>
  <w:style w:type="character" w:customStyle="1" w:styleId="n9q8lc">
    <w:name w:val="n9q8lc"/>
    <w:basedOn w:val="Fuentedeprrafopredeter"/>
    <w:rsid w:val="00602556"/>
  </w:style>
  <w:style w:type="character" w:styleId="Hipervnculo">
    <w:name w:val="Hyperlink"/>
    <w:basedOn w:val="Fuentedeprrafopredeter"/>
    <w:uiPriority w:val="99"/>
    <w:semiHidden/>
    <w:unhideWhenUsed/>
    <w:rsid w:val="00602556"/>
    <w:rPr>
      <w:color w:val="0000FF"/>
      <w:u w:val="single"/>
    </w:rPr>
  </w:style>
  <w:style w:type="paragraph" w:styleId="Sinespaciado">
    <w:name w:val="No Spacing"/>
    <w:uiPriority w:val="1"/>
    <w:qFormat/>
    <w:rsid w:val="00513D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458934">
      <w:bodyDiv w:val="1"/>
      <w:marLeft w:val="0"/>
      <w:marRight w:val="0"/>
      <w:marTop w:val="0"/>
      <w:marBottom w:val="0"/>
      <w:divBdr>
        <w:top w:val="none" w:sz="0" w:space="0" w:color="auto"/>
        <w:left w:val="none" w:sz="0" w:space="0" w:color="auto"/>
        <w:bottom w:val="none" w:sz="0" w:space="0" w:color="auto"/>
        <w:right w:val="none" w:sz="0" w:space="0" w:color="auto"/>
      </w:divBdr>
    </w:div>
    <w:div w:id="1031227998">
      <w:bodyDiv w:val="1"/>
      <w:marLeft w:val="0"/>
      <w:marRight w:val="0"/>
      <w:marTop w:val="0"/>
      <w:marBottom w:val="0"/>
      <w:divBdr>
        <w:top w:val="none" w:sz="0" w:space="0" w:color="auto"/>
        <w:left w:val="none" w:sz="0" w:space="0" w:color="auto"/>
        <w:bottom w:val="none" w:sz="0" w:space="0" w:color="auto"/>
        <w:right w:val="none" w:sz="0" w:space="0" w:color="auto"/>
      </w:divBdr>
    </w:div>
    <w:div w:id="1403530302">
      <w:bodyDiv w:val="1"/>
      <w:marLeft w:val="0"/>
      <w:marRight w:val="0"/>
      <w:marTop w:val="0"/>
      <w:marBottom w:val="0"/>
      <w:divBdr>
        <w:top w:val="none" w:sz="0" w:space="0" w:color="auto"/>
        <w:left w:val="none" w:sz="0" w:space="0" w:color="auto"/>
        <w:bottom w:val="none" w:sz="0" w:space="0" w:color="auto"/>
        <w:right w:val="none" w:sz="0" w:space="0" w:color="auto"/>
      </w:divBdr>
    </w:div>
    <w:div w:id="1516387596">
      <w:bodyDiv w:val="1"/>
      <w:marLeft w:val="0"/>
      <w:marRight w:val="0"/>
      <w:marTop w:val="0"/>
      <w:marBottom w:val="0"/>
      <w:divBdr>
        <w:top w:val="none" w:sz="0" w:space="0" w:color="auto"/>
        <w:left w:val="none" w:sz="0" w:space="0" w:color="auto"/>
        <w:bottom w:val="none" w:sz="0" w:space="0" w:color="auto"/>
        <w:right w:val="none" w:sz="0" w:space="0" w:color="auto"/>
      </w:divBdr>
    </w:div>
    <w:div w:id="1606227687">
      <w:bodyDiv w:val="1"/>
      <w:marLeft w:val="0"/>
      <w:marRight w:val="0"/>
      <w:marTop w:val="0"/>
      <w:marBottom w:val="0"/>
      <w:divBdr>
        <w:top w:val="none" w:sz="0" w:space="0" w:color="auto"/>
        <w:left w:val="none" w:sz="0" w:space="0" w:color="auto"/>
        <w:bottom w:val="none" w:sz="0" w:space="0" w:color="auto"/>
        <w:right w:val="none" w:sz="0" w:space="0" w:color="auto"/>
      </w:divBdr>
    </w:div>
    <w:div w:id="1723669541">
      <w:bodyDiv w:val="1"/>
      <w:marLeft w:val="0"/>
      <w:marRight w:val="0"/>
      <w:marTop w:val="0"/>
      <w:marBottom w:val="0"/>
      <w:divBdr>
        <w:top w:val="none" w:sz="0" w:space="0" w:color="auto"/>
        <w:left w:val="none" w:sz="0" w:space="0" w:color="auto"/>
        <w:bottom w:val="none" w:sz="0" w:space="0" w:color="auto"/>
        <w:right w:val="none" w:sz="0" w:space="0" w:color="auto"/>
      </w:divBdr>
    </w:div>
    <w:div w:id="1982539887">
      <w:bodyDiv w:val="1"/>
      <w:marLeft w:val="0"/>
      <w:marRight w:val="0"/>
      <w:marTop w:val="0"/>
      <w:marBottom w:val="0"/>
      <w:divBdr>
        <w:top w:val="none" w:sz="0" w:space="0" w:color="auto"/>
        <w:left w:val="none" w:sz="0" w:space="0" w:color="auto"/>
        <w:bottom w:val="none" w:sz="0" w:space="0" w:color="auto"/>
        <w:right w:val="none" w:sz="0" w:space="0" w:color="auto"/>
      </w:divBdr>
      <w:divsChild>
        <w:div w:id="1018190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1074</Words>
  <Characters>5911</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SHEILA MARIA DIAZ RAMIREZ</dc:creator>
  <cp:keywords/>
  <dc:description/>
  <cp:lastModifiedBy>SHEILA MARIA DIAZ RAMIREZ</cp:lastModifiedBy>
  <cp:revision>14</cp:revision>
  <dcterms:created xsi:type="dcterms:W3CDTF">2026-05-07T10:45:00Z</dcterms:created>
  <dcterms:modified xsi:type="dcterms:W3CDTF">2026-05-09T17:31:00Z</dcterms:modified>
</cp:coreProperties>
</file>